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0017" w14:textId="583BC461" w:rsidR="0062125D" w:rsidRPr="00296131" w:rsidRDefault="0062125D" w:rsidP="0062125D">
      <w:p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highlight w:val="yellow"/>
        </w:rPr>
        <w:t xml:space="preserve">Disclaimers: Content in this document is intended to be customized by the surgeon and placed on your letterhead. PROCEPT BioRobotics is not providing medical advice. </w:t>
      </w:r>
    </w:p>
    <w:p w14:paraId="669187BF" w14:textId="77777777" w:rsidR="0062125D" w:rsidRPr="00296131" w:rsidRDefault="0062125D" w:rsidP="0062125D">
      <w:pPr>
        <w:jc w:val="both"/>
        <w:textAlignment w:val="top"/>
        <w:rPr>
          <w:rFonts w:ascii="Century Gothic" w:hAnsi="Century Gothic" w:cs="Calibri"/>
          <w:color w:val="000000" w:themeColor="text1"/>
          <w:sz w:val="21"/>
          <w:szCs w:val="21"/>
          <w:highlight w:val="yellow"/>
        </w:rPr>
      </w:pPr>
      <w:r w:rsidRPr="00296131">
        <w:rPr>
          <w:rFonts w:ascii="Century Gothic" w:hAnsi="Century Gothic" w:cs="Calibri"/>
          <w:color w:val="000000" w:themeColor="text1"/>
          <w:sz w:val="21"/>
          <w:szCs w:val="21"/>
          <w:highlight w:val="yellow"/>
        </w:rPr>
        <w:t>Dr. Lewis Kriteman, Dr. Brian Helfand and Dr. Kevin Zorn have contributed to this material.</w:t>
      </w:r>
    </w:p>
    <w:p w14:paraId="2DB8D081" w14:textId="524EB282" w:rsidR="00CE4061" w:rsidRPr="00296131" w:rsidRDefault="00E0625F" w:rsidP="0062125D">
      <w:pPr>
        <w:jc w:val="center"/>
        <w:rPr>
          <w:rFonts w:ascii="Century Gothic" w:hAnsi="Century Gothic" w:cs="Calibri"/>
          <w:b/>
          <w:bCs/>
          <w:color w:val="000000" w:themeColor="text1"/>
          <w:sz w:val="21"/>
          <w:szCs w:val="21"/>
        </w:rPr>
      </w:pPr>
      <w:r w:rsidRPr="00296131">
        <w:rPr>
          <w:rFonts w:ascii="Century Gothic" w:hAnsi="Century Gothic" w:cs="Calibri"/>
          <w:b/>
          <w:bCs/>
          <w:color w:val="000000" w:themeColor="text1"/>
          <w:sz w:val="21"/>
          <w:szCs w:val="21"/>
        </w:rPr>
        <w:t xml:space="preserve">What to Expect </w:t>
      </w:r>
      <w:r w:rsidR="00CE4061" w:rsidRPr="00296131">
        <w:rPr>
          <w:rFonts w:ascii="Century Gothic" w:hAnsi="Century Gothic" w:cs="Calibri"/>
          <w:b/>
          <w:bCs/>
          <w:color w:val="000000" w:themeColor="text1"/>
          <w:sz w:val="21"/>
          <w:szCs w:val="21"/>
        </w:rPr>
        <w:t xml:space="preserve">After Aquablation </w:t>
      </w:r>
      <w:r w:rsidR="00C2722E" w:rsidRPr="00296131">
        <w:rPr>
          <w:rFonts w:ascii="Century Gothic" w:hAnsi="Century Gothic" w:cs="Calibri"/>
          <w:b/>
          <w:bCs/>
          <w:color w:val="000000" w:themeColor="text1"/>
          <w:sz w:val="21"/>
          <w:szCs w:val="21"/>
        </w:rPr>
        <w:t>Therapy</w:t>
      </w:r>
    </w:p>
    <w:p w14:paraId="6732E140" w14:textId="7625B5BA" w:rsidR="00CE4061" w:rsidRPr="00296131" w:rsidRDefault="00CE4061" w:rsidP="00CE4061">
      <w:pPr>
        <w:spacing w:before="100" w:beforeAutospacing="1" w:after="100" w:afterAutospacing="1" w:line="240" w:lineRule="auto"/>
        <w:rPr>
          <w:rFonts w:ascii="Century Gothic" w:eastAsia="Times New Roman" w:hAnsi="Century Gothic" w:cs="Calibri"/>
          <w:color w:val="000000" w:themeColor="text1"/>
          <w:kern w:val="0"/>
          <w:sz w:val="21"/>
          <w:szCs w:val="21"/>
          <w14:ligatures w14:val="none"/>
        </w:rPr>
      </w:pPr>
      <w:r w:rsidRPr="00296131">
        <w:rPr>
          <w:rFonts w:ascii="Century Gothic" w:eastAsia="Times New Roman" w:hAnsi="Century Gothic" w:cs="Calibri"/>
          <w:color w:val="000000" w:themeColor="text1"/>
          <w:kern w:val="0"/>
          <w:sz w:val="21"/>
          <w:szCs w:val="21"/>
          <w14:ligatures w14:val="none"/>
        </w:rPr>
        <w:t>Patients will be monitored in a recovery room after the procedure until the effects of anesthesia wear off. Most patients stay overnight in the hospital for observation, while some may be discharged the same day.</w:t>
      </w:r>
    </w:p>
    <w:p w14:paraId="25F84565" w14:textId="77777777" w:rsidR="00CE4061" w:rsidRPr="00296131" w:rsidRDefault="00CE4061" w:rsidP="0062125D">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Signs and symptoms to watch for include:</w:t>
      </w:r>
    </w:p>
    <w:p w14:paraId="408AF1CF" w14:textId="77777777" w:rsidR="00CE4061" w:rsidRPr="00296131" w:rsidRDefault="00CE4061" w:rsidP="0062125D">
      <w:pPr>
        <w:pStyle w:val="NoSpacing"/>
        <w:numPr>
          <w:ilvl w:val="0"/>
          <w:numId w:val="22"/>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Fever of more than 38.5°C (101°F).</w:t>
      </w:r>
    </w:p>
    <w:p w14:paraId="0AB2891D" w14:textId="77777777" w:rsidR="00CE4061" w:rsidRPr="00296131" w:rsidRDefault="00CE4061" w:rsidP="0062125D">
      <w:pPr>
        <w:pStyle w:val="NoSpacing"/>
        <w:numPr>
          <w:ilvl w:val="0"/>
          <w:numId w:val="22"/>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Persistent nausea or vomiting.</w:t>
      </w:r>
    </w:p>
    <w:p w14:paraId="7E42D43B" w14:textId="77777777" w:rsidR="00CE4061" w:rsidRPr="00296131" w:rsidRDefault="00CE4061" w:rsidP="0062125D">
      <w:pPr>
        <w:pStyle w:val="NoSpacing"/>
        <w:numPr>
          <w:ilvl w:val="0"/>
          <w:numId w:val="22"/>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Difficulty urinating.</w:t>
      </w:r>
    </w:p>
    <w:p w14:paraId="4E8302DD" w14:textId="77777777" w:rsidR="0062125D" w:rsidRPr="00296131" w:rsidRDefault="0062125D" w:rsidP="0062125D">
      <w:pPr>
        <w:pStyle w:val="NoSpacing"/>
        <w:ind w:left="720"/>
        <w:rPr>
          <w:rFonts w:ascii="Century Gothic" w:hAnsi="Century Gothic" w:cs="Calibri"/>
          <w:color w:val="000000" w:themeColor="text1"/>
          <w:sz w:val="21"/>
          <w:szCs w:val="21"/>
          <w:u w:val="single"/>
        </w:rPr>
      </w:pPr>
    </w:p>
    <w:p w14:paraId="5F748286" w14:textId="431CD065" w:rsidR="00E54A9C" w:rsidRPr="00296131" w:rsidRDefault="00CE4061" w:rsidP="00E54A9C">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Pain management</w:t>
      </w:r>
      <w:r w:rsidR="00C2722E" w:rsidRPr="00296131">
        <w:rPr>
          <w:rFonts w:ascii="Century Gothic" w:hAnsi="Century Gothic" w:cs="Calibri"/>
          <w:color w:val="000000" w:themeColor="text1"/>
          <w:sz w:val="21"/>
          <w:szCs w:val="21"/>
          <w:u w:val="single"/>
        </w:rPr>
        <w:t xml:space="preserve"> </w:t>
      </w:r>
    </w:p>
    <w:p w14:paraId="53BF7B6F" w14:textId="77777777" w:rsidR="00E54A9C" w:rsidRPr="00296131" w:rsidRDefault="00CE4061" w:rsidP="00E54A9C">
      <w:pPr>
        <w:pStyle w:val="NoSpacing"/>
        <w:numPr>
          <w:ilvl w:val="0"/>
          <w:numId w:val="21"/>
        </w:numPr>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rPr>
        <w:t>The most common side effects, which may include mild burning during urination for a couple of weeks. After surgery, the surgeon may prescribe pain medications</w:t>
      </w:r>
      <w:r w:rsidR="002C6A7D" w:rsidRPr="00296131">
        <w:rPr>
          <w:rFonts w:ascii="Century Gothic" w:hAnsi="Century Gothic" w:cs="Calibri"/>
          <w:color w:val="000000" w:themeColor="text1"/>
          <w:sz w:val="21"/>
          <w:szCs w:val="21"/>
        </w:rPr>
        <w:t xml:space="preserve"> or over the counter pain medications</w:t>
      </w:r>
      <w:r w:rsidRPr="00296131">
        <w:rPr>
          <w:rFonts w:ascii="Century Gothic" w:hAnsi="Century Gothic" w:cs="Calibri"/>
          <w:color w:val="000000" w:themeColor="text1"/>
          <w:sz w:val="21"/>
          <w:szCs w:val="21"/>
        </w:rPr>
        <w:t>.</w:t>
      </w:r>
    </w:p>
    <w:p w14:paraId="77DADF6B" w14:textId="7022131D" w:rsidR="00CE4061" w:rsidRPr="00296131" w:rsidRDefault="00CE4061" w:rsidP="00E54A9C">
      <w:pPr>
        <w:pStyle w:val="NoSpacing"/>
        <w:numPr>
          <w:ilvl w:val="0"/>
          <w:numId w:val="21"/>
        </w:numPr>
        <w:rPr>
          <w:rFonts w:ascii="Century Gothic" w:hAnsi="Century Gothic" w:cs="Calibri"/>
          <w:color w:val="000000" w:themeColor="text1"/>
          <w:sz w:val="21"/>
          <w:szCs w:val="21"/>
          <w:u w:val="single"/>
        </w:rPr>
      </w:pPr>
      <w:r w:rsidRPr="00296131">
        <w:rPr>
          <w:rFonts w:ascii="Century Gothic" w:eastAsia="Times New Roman" w:hAnsi="Century Gothic" w:cs="Calibri"/>
          <w:color w:val="000000" w:themeColor="text1"/>
          <w:kern w:val="0"/>
          <w:sz w:val="21"/>
          <w:szCs w:val="21"/>
          <w14:ligatures w14:val="none"/>
        </w:rPr>
        <w:t>Discharge instructions will be provided by</w:t>
      </w:r>
      <w:r w:rsidR="002C6A7D" w:rsidRPr="00296131">
        <w:rPr>
          <w:rFonts w:ascii="Century Gothic" w:eastAsia="Times New Roman" w:hAnsi="Century Gothic" w:cs="Calibri"/>
          <w:color w:val="000000" w:themeColor="text1"/>
          <w:kern w:val="0"/>
          <w:sz w:val="21"/>
          <w:szCs w:val="21"/>
          <w14:ligatures w14:val="none"/>
        </w:rPr>
        <w:t xml:space="preserve"> your </w:t>
      </w:r>
      <w:r w:rsidRPr="00296131">
        <w:rPr>
          <w:rFonts w:ascii="Century Gothic" w:eastAsia="Times New Roman" w:hAnsi="Century Gothic" w:cs="Calibri"/>
          <w:color w:val="000000" w:themeColor="text1"/>
          <w:kern w:val="0"/>
          <w:sz w:val="21"/>
          <w:szCs w:val="21"/>
          <w14:ligatures w14:val="none"/>
        </w:rPr>
        <w:t>surgeon.</w:t>
      </w:r>
    </w:p>
    <w:p w14:paraId="5A352016" w14:textId="77777777" w:rsidR="00E54A9C" w:rsidRPr="00296131" w:rsidRDefault="00E54A9C" w:rsidP="00CE4061">
      <w:pPr>
        <w:pStyle w:val="NoSpacing"/>
        <w:rPr>
          <w:rFonts w:ascii="Century Gothic" w:hAnsi="Century Gothic" w:cs="Calibri"/>
          <w:color w:val="000000" w:themeColor="text1"/>
          <w:sz w:val="21"/>
          <w:szCs w:val="21"/>
          <w:u w:val="single"/>
        </w:rPr>
      </w:pPr>
    </w:p>
    <w:p w14:paraId="3DF0D497" w14:textId="64B3A105" w:rsidR="00CE4061" w:rsidRPr="00296131" w:rsidRDefault="00CE4061" w:rsidP="00CE4061">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Diet and hydration:</w:t>
      </w:r>
    </w:p>
    <w:p w14:paraId="5B188CA1" w14:textId="5384DD9E" w:rsidR="00CE4061" w:rsidRPr="00296131" w:rsidRDefault="00CE4061" w:rsidP="00CE4061">
      <w:pPr>
        <w:pStyle w:val="NoSpacing"/>
        <w:numPr>
          <w:ilvl w:val="0"/>
          <w:numId w:val="5"/>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A light diet is recommended following surgery to prevent nausea, (including broths, light soups, and crackers).</w:t>
      </w:r>
    </w:p>
    <w:p w14:paraId="57D7EC48" w14:textId="77777777" w:rsidR="00CE4061" w:rsidRPr="00296131" w:rsidRDefault="00CE4061" w:rsidP="00CE4061">
      <w:pPr>
        <w:pStyle w:val="NoSpacing"/>
        <w:numPr>
          <w:ilvl w:val="0"/>
          <w:numId w:val="5"/>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Patients should gradually return to their regular diet and hydration.</w:t>
      </w:r>
    </w:p>
    <w:p w14:paraId="48796066" w14:textId="23205DD0" w:rsidR="00CE4061" w:rsidRPr="00296131" w:rsidRDefault="00CE4061" w:rsidP="00E36130">
      <w:pPr>
        <w:pStyle w:val="NoSpacing"/>
        <w:numPr>
          <w:ilvl w:val="0"/>
          <w:numId w:val="5"/>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It is important to drink plenty of fluids, especially water</w:t>
      </w:r>
      <w:r w:rsidR="00FE69D5" w:rsidRPr="00296131">
        <w:rPr>
          <w:rFonts w:ascii="Century Gothic" w:hAnsi="Century Gothic" w:cs="Calibri"/>
          <w:color w:val="000000" w:themeColor="text1"/>
          <w:sz w:val="21"/>
          <w:szCs w:val="21"/>
        </w:rPr>
        <w:t xml:space="preserve"> to keep the urine pink to clear in color.</w:t>
      </w:r>
    </w:p>
    <w:p w14:paraId="72E20EAE" w14:textId="77777777" w:rsidR="000F5898" w:rsidRPr="00296131" w:rsidRDefault="000F5898" w:rsidP="00CE4061">
      <w:pPr>
        <w:pStyle w:val="NoSpacing"/>
        <w:rPr>
          <w:rFonts w:ascii="Century Gothic" w:hAnsi="Century Gothic" w:cs="Calibri"/>
          <w:color w:val="000000" w:themeColor="text1"/>
          <w:sz w:val="21"/>
          <w:szCs w:val="21"/>
          <w:u w:val="single"/>
        </w:rPr>
      </w:pPr>
    </w:p>
    <w:p w14:paraId="694C939F" w14:textId="2B36DDA7" w:rsidR="00CE4061" w:rsidRPr="00296131" w:rsidRDefault="00CE4061" w:rsidP="00CE4061">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Constipation:</w:t>
      </w:r>
    </w:p>
    <w:p w14:paraId="39C8192C" w14:textId="77777777" w:rsidR="00CE4061" w:rsidRPr="00296131" w:rsidRDefault="00CE4061" w:rsidP="00CE4061">
      <w:pPr>
        <w:pStyle w:val="NoSpacing"/>
        <w:numPr>
          <w:ilvl w:val="0"/>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Constipation is common, and many patients report not having a bowel movement for 48 to 72 hours after surgery. Bowel function should progressively return to normal within a week after the operation as patients resume a regular diet and activity level.</w:t>
      </w:r>
    </w:p>
    <w:p w14:paraId="60CB25B4" w14:textId="77777777" w:rsidR="006C35C3" w:rsidRPr="00296131" w:rsidRDefault="006C35C3" w:rsidP="00CE4061">
      <w:pPr>
        <w:pStyle w:val="NoSpacing"/>
        <w:rPr>
          <w:rFonts w:ascii="Century Gothic" w:hAnsi="Century Gothic" w:cs="Calibri"/>
          <w:color w:val="000000" w:themeColor="text1"/>
          <w:sz w:val="21"/>
          <w:szCs w:val="21"/>
          <w:u w:val="single"/>
        </w:rPr>
      </w:pPr>
    </w:p>
    <w:p w14:paraId="4C7A81BA" w14:textId="01FCF838" w:rsidR="00CE4061" w:rsidRPr="00296131" w:rsidRDefault="00CE4061" w:rsidP="00CE4061">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Urination:</w:t>
      </w:r>
    </w:p>
    <w:p w14:paraId="12CFA71F" w14:textId="77777777" w:rsidR="00CE4061" w:rsidRPr="00296131" w:rsidRDefault="00CE4061" w:rsidP="00CE4061">
      <w:pPr>
        <w:pStyle w:val="NoSpacing"/>
        <w:numPr>
          <w:ilvl w:val="0"/>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A catheter will be placed in the bladder to assist with urine drainage immediately after the procedure. This catheter is typically removed within 24 to 72 hours or at the surgeon's discretion.</w:t>
      </w:r>
    </w:p>
    <w:p w14:paraId="538DA73D" w14:textId="1E542044" w:rsidR="009A4166" w:rsidRPr="00296131" w:rsidRDefault="009A4166" w:rsidP="00CE4061">
      <w:pPr>
        <w:pStyle w:val="NoSpacing"/>
        <w:numPr>
          <w:ilvl w:val="0"/>
          <w:numId w:val="8"/>
        </w:numPr>
        <w:rPr>
          <w:rFonts w:ascii="Century Gothic" w:hAnsi="Century Gothic" w:cs="Calibri"/>
          <w:color w:val="000000" w:themeColor="text1"/>
          <w:sz w:val="21"/>
          <w:szCs w:val="21"/>
        </w:rPr>
      </w:pPr>
      <w:bookmarkStart w:id="0" w:name="_Hlk183506219"/>
      <w:r w:rsidRPr="00296131">
        <w:rPr>
          <w:rFonts w:ascii="Century Gothic" w:hAnsi="Century Gothic" w:cs="Calibri"/>
          <w:color w:val="000000" w:themeColor="text1"/>
          <w:sz w:val="21"/>
          <w:szCs w:val="21"/>
        </w:rPr>
        <w:t xml:space="preserve">After the procedure, it's normal to pass small pieces of tissue in your urine. This usually goes away within </w:t>
      </w:r>
      <w:r w:rsidR="00E76421" w:rsidRPr="00296131">
        <w:rPr>
          <w:rFonts w:ascii="Century Gothic" w:hAnsi="Century Gothic" w:cs="Calibri"/>
          <w:color w:val="000000" w:themeColor="text1"/>
          <w:sz w:val="21"/>
          <w:szCs w:val="21"/>
        </w:rPr>
        <w:t xml:space="preserve">a few </w:t>
      </w:r>
      <w:r w:rsidRPr="00296131">
        <w:rPr>
          <w:rFonts w:ascii="Century Gothic" w:hAnsi="Century Gothic" w:cs="Calibri"/>
          <w:color w:val="000000" w:themeColor="text1"/>
          <w:sz w:val="21"/>
          <w:szCs w:val="21"/>
        </w:rPr>
        <w:t xml:space="preserve">weeks. This is part of the healing process, allowing new tissue to grow. </w:t>
      </w:r>
    </w:p>
    <w:p w14:paraId="7D3A1232" w14:textId="25F4BB92" w:rsidR="009A4166" w:rsidRPr="00296131" w:rsidRDefault="009A4166" w:rsidP="00CE4061">
      <w:pPr>
        <w:pStyle w:val="NoSpacing"/>
        <w:numPr>
          <w:ilvl w:val="0"/>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If you feel irritation at the tip of your penis, it's okay to apply some antibiotic ointment around the area.</w:t>
      </w:r>
    </w:p>
    <w:bookmarkEnd w:id="0"/>
    <w:p w14:paraId="2A9A264E" w14:textId="77777777" w:rsidR="00296131" w:rsidRPr="00296131" w:rsidRDefault="00296131" w:rsidP="00E54A9C">
      <w:pPr>
        <w:pStyle w:val="NoSpacing"/>
        <w:rPr>
          <w:rFonts w:ascii="Century Gothic" w:hAnsi="Century Gothic" w:cs="Calibri"/>
          <w:color w:val="000000" w:themeColor="text1"/>
          <w:sz w:val="21"/>
          <w:szCs w:val="21"/>
          <w:u w:val="single"/>
        </w:rPr>
      </w:pPr>
    </w:p>
    <w:p w14:paraId="08C0AEAC" w14:textId="07E9ACE3" w:rsidR="00E54A9C" w:rsidRPr="00296131" w:rsidRDefault="00E54A9C" w:rsidP="00E54A9C">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Hygiene care:</w:t>
      </w:r>
    </w:p>
    <w:p w14:paraId="62F9B355" w14:textId="77777777" w:rsidR="00E54A9C" w:rsidRPr="00296131" w:rsidRDefault="00E54A9C" w:rsidP="00E54A9C">
      <w:pPr>
        <w:pStyle w:val="NoSpacing"/>
        <w:numPr>
          <w:ilvl w:val="0"/>
          <w:numId w:val="4"/>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Patients may take a shower 48 hours after surgery.</w:t>
      </w:r>
    </w:p>
    <w:p w14:paraId="7020329C" w14:textId="77777777" w:rsidR="001079F3" w:rsidRPr="00296131" w:rsidRDefault="001079F3">
      <w:pPr>
        <w:rPr>
          <w:rFonts w:ascii="Century Gothic" w:hAnsi="Century Gothic" w:cs="Calibri"/>
          <w:color w:val="000000" w:themeColor="text1"/>
          <w:sz w:val="21"/>
          <w:szCs w:val="21"/>
        </w:rPr>
      </w:pPr>
    </w:p>
    <w:p w14:paraId="4F1718D8" w14:textId="7AD59E0A" w:rsidR="00A366C5" w:rsidRPr="00296131" w:rsidRDefault="00A366C5" w:rsidP="00A366C5">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Activities:</w:t>
      </w:r>
    </w:p>
    <w:p w14:paraId="5C80599F" w14:textId="655A2032" w:rsidR="00A366C5" w:rsidRPr="00296131" w:rsidRDefault="00A366C5" w:rsidP="000F5898">
      <w:pPr>
        <w:pStyle w:val="NoSpacing"/>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Patients should respect their body’s limits and return to normal activities progressively based on how they feel. Ample time for rest is important after engaging in any activity.</w:t>
      </w:r>
    </w:p>
    <w:p w14:paraId="7673728C" w14:textId="77777777" w:rsidR="000F5898" w:rsidRPr="00296131" w:rsidRDefault="000F5898" w:rsidP="000F5898">
      <w:pPr>
        <w:pStyle w:val="NoSpacing"/>
        <w:rPr>
          <w:rFonts w:ascii="Century Gothic" w:hAnsi="Century Gothic" w:cs="Calibri"/>
          <w:color w:val="000000" w:themeColor="text1"/>
          <w:sz w:val="21"/>
          <w:szCs w:val="21"/>
        </w:rPr>
      </w:pPr>
    </w:p>
    <w:p w14:paraId="0B1D7A2A" w14:textId="3C030FC2" w:rsidR="00A366C5" w:rsidRPr="00296131" w:rsidRDefault="00A366C5" w:rsidP="00A366C5">
      <w:pPr>
        <w:pStyle w:val="NoSpacing"/>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Permitted activities:</w:t>
      </w:r>
    </w:p>
    <w:p w14:paraId="04E45349" w14:textId="77777777" w:rsidR="00A366C5" w:rsidRPr="00296131" w:rsidRDefault="00A366C5" w:rsidP="00A366C5">
      <w:pPr>
        <w:pStyle w:val="NoSpacing"/>
        <w:numPr>
          <w:ilvl w:val="0"/>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Walking is encouraged, with a gradual increase in the distance walked each day.</w:t>
      </w:r>
    </w:p>
    <w:p w14:paraId="489249ED" w14:textId="77777777" w:rsidR="000F5898" w:rsidRPr="00296131" w:rsidRDefault="000F5898" w:rsidP="00A366C5">
      <w:pPr>
        <w:pStyle w:val="NoSpacing"/>
        <w:rPr>
          <w:rFonts w:ascii="Century Gothic" w:hAnsi="Century Gothic" w:cs="Calibri"/>
          <w:color w:val="000000" w:themeColor="text1"/>
          <w:sz w:val="21"/>
          <w:szCs w:val="21"/>
        </w:rPr>
      </w:pPr>
    </w:p>
    <w:p w14:paraId="18CC562B" w14:textId="45FE51BB" w:rsidR="00A366C5" w:rsidRPr="00296131" w:rsidRDefault="00A366C5" w:rsidP="00A366C5">
      <w:pPr>
        <w:pStyle w:val="NoSpacing"/>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Prohibited activities:</w:t>
      </w:r>
    </w:p>
    <w:p w14:paraId="721276BA" w14:textId="1822D449" w:rsidR="00A366C5" w:rsidRPr="00296131" w:rsidRDefault="00A366C5" w:rsidP="00A366C5">
      <w:pPr>
        <w:pStyle w:val="NoSpacing"/>
        <w:numPr>
          <w:ilvl w:val="0"/>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I</w:t>
      </w:r>
      <w:r w:rsidR="00523570" w:rsidRPr="00296131">
        <w:rPr>
          <w:rFonts w:ascii="Century Gothic" w:hAnsi="Century Gothic" w:cs="Calibri"/>
          <w:color w:val="000000" w:themeColor="text1"/>
          <w:sz w:val="21"/>
          <w:szCs w:val="21"/>
        </w:rPr>
        <w:t>ntense</w:t>
      </w:r>
      <w:r w:rsidRPr="00296131">
        <w:rPr>
          <w:rFonts w:ascii="Century Gothic" w:hAnsi="Century Gothic" w:cs="Calibri"/>
          <w:color w:val="000000" w:themeColor="text1"/>
          <w:sz w:val="21"/>
          <w:szCs w:val="21"/>
        </w:rPr>
        <w:t xml:space="preserve"> physical effort should be avoided until the follow-up appointment.</w:t>
      </w:r>
    </w:p>
    <w:p w14:paraId="4961A5DF" w14:textId="2E97CD68" w:rsidR="00A366C5" w:rsidRPr="00296131" w:rsidRDefault="00A366C5" w:rsidP="000F5898">
      <w:pPr>
        <w:pStyle w:val="NoSpacing"/>
        <w:numPr>
          <w:ilvl w:val="1"/>
          <w:numId w:val="8"/>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Lifting, pushing, or pulling heavy objects (over 10 lbs. or 4.5 kg) is not permitted.</w:t>
      </w:r>
    </w:p>
    <w:p w14:paraId="15B322C7" w14:textId="77777777" w:rsidR="00A366C5" w:rsidRPr="00296131" w:rsidRDefault="00A366C5" w:rsidP="00A366C5">
      <w:pPr>
        <w:rPr>
          <w:rFonts w:ascii="Century Gothic" w:hAnsi="Century Gothic" w:cs="Calibri"/>
          <w:color w:val="000000" w:themeColor="text1"/>
          <w:sz w:val="21"/>
          <w:szCs w:val="21"/>
        </w:rPr>
      </w:pPr>
    </w:p>
    <w:p w14:paraId="3772AFC9" w14:textId="587AAC01" w:rsidR="00A366C5" w:rsidRPr="00296131" w:rsidRDefault="00A366C5" w:rsidP="00A366C5">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Driving:</w:t>
      </w:r>
    </w:p>
    <w:p w14:paraId="2E897313" w14:textId="49F4AC57" w:rsidR="009A4166" w:rsidRPr="00296131" w:rsidRDefault="00A366C5" w:rsidP="009A4166">
      <w:pPr>
        <w:pStyle w:val="NoSpacing"/>
        <w:numPr>
          <w:ilvl w:val="0"/>
          <w:numId w:val="9"/>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 xml:space="preserve">Driving is not recommended for </w:t>
      </w:r>
      <w:r w:rsidR="009A4166" w:rsidRPr="00296131">
        <w:rPr>
          <w:rFonts w:ascii="Century Gothic" w:hAnsi="Century Gothic" w:cs="Calibri"/>
          <w:color w:val="000000" w:themeColor="text1"/>
          <w:sz w:val="21"/>
          <w:szCs w:val="21"/>
        </w:rPr>
        <w:t xml:space="preserve">at least </w:t>
      </w:r>
      <w:r w:rsidRPr="00296131">
        <w:rPr>
          <w:rFonts w:ascii="Century Gothic" w:hAnsi="Century Gothic" w:cs="Calibri"/>
          <w:color w:val="000000" w:themeColor="text1"/>
          <w:sz w:val="21"/>
          <w:szCs w:val="21"/>
        </w:rPr>
        <w:t>24 hours after receiving anesthesia</w:t>
      </w:r>
      <w:r w:rsidR="009A4166" w:rsidRPr="00296131">
        <w:rPr>
          <w:rFonts w:ascii="Century Gothic" w:hAnsi="Century Gothic" w:cs="Calibri"/>
          <w:color w:val="000000" w:themeColor="text1"/>
          <w:sz w:val="21"/>
          <w:szCs w:val="21"/>
        </w:rPr>
        <w:t xml:space="preserve"> or until you are pain-free, can move easily, and are not taking any prescription pain medicine that could make it unsafe to drive.</w:t>
      </w:r>
    </w:p>
    <w:p w14:paraId="4AA0DE38" w14:textId="77777777" w:rsidR="00E54A9C" w:rsidRPr="00296131" w:rsidRDefault="00E54A9C" w:rsidP="00A366C5">
      <w:pPr>
        <w:pStyle w:val="NoSpacing"/>
        <w:rPr>
          <w:rFonts w:ascii="Century Gothic" w:hAnsi="Century Gothic" w:cs="Calibri"/>
          <w:color w:val="000000" w:themeColor="text1"/>
          <w:sz w:val="21"/>
          <w:szCs w:val="21"/>
          <w:u w:val="single"/>
        </w:rPr>
      </w:pPr>
    </w:p>
    <w:p w14:paraId="4191FF4F" w14:textId="24EA468A" w:rsidR="00A366C5" w:rsidRPr="00296131" w:rsidRDefault="00A366C5" w:rsidP="00A366C5">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Flying:</w:t>
      </w:r>
    </w:p>
    <w:p w14:paraId="7CE64665" w14:textId="0A6487D6" w:rsidR="00A366C5" w:rsidRPr="00296131" w:rsidRDefault="00A366C5" w:rsidP="00A366C5">
      <w:pPr>
        <w:pStyle w:val="NoSpacing"/>
        <w:numPr>
          <w:ilvl w:val="0"/>
          <w:numId w:val="9"/>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Flying is subject to the surgeon's discretion.</w:t>
      </w:r>
      <w:r w:rsidR="00523570" w:rsidRPr="00296131">
        <w:rPr>
          <w:rFonts w:ascii="Century Gothic" w:hAnsi="Century Gothic" w:cs="Calibri"/>
          <w:color w:val="000000" w:themeColor="text1"/>
          <w:sz w:val="21"/>
          <w:szCs w:val="21"/>
        </w:rPr>
        <w:t xml:space="preserve"> Please follow up with your surgeon.</w:t>
      </w:r>
    </w:p>
    <w:p w14:paraId="622EB0D5" w14:textId="77777777" w:rsidR="00A366C5" w:rsidRPr="00296131" w:rsidRDefault="00A366C5" w:rsidP="00A366C5">
      <w:pPr>
        <w:pStyle w:val="NoSpacing"/>
        <w:rPr>
          <w:rFonts w:ascii="Century Gothic" w:hAnsi="Century Gothic" w:cs="Calibri"/>
          <w:color w:val="000000" w:themeColor="text1"/>
          <w:sz w:val="21"/>
          <w:szCs w:val="21"/>
        </w:rPr>
      </w:pPr>
    </w:p>
    <w:p w14:paraId="72C239BD" w14:textId="3BC65B9E" w:rsidR="00A366C5" w:rsidRPr="00296131" w:rsidRDefault="00A366C5" w:rsidP="00A366C5">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 xml:space="preserve">Sexual </w:t>
      </w:r>
      <w:r w:rsidR="00B07974" w:rsidRPr="00296131">
        <w:rPr>
          <w:rFonts w:ascii="Century Gothic" w:hAnsi="Century Gothic" w:cs="Calibri"/>
          <w:color w:val="000000" w:themeColor="text1"/>
          <w:sz w:val="21"/>
          <w:szCs w:val="21"/>
          <w:u w:val="single"/>
        </w:rPr>
        <w:t>Activity</w:t>
      </w:r>
      <w:r w:rsidRPr="00296131">
        <w:rPr>
          <w:rFonts w:ascii="Century Gothic" w:hAnsi="Century Gothic" w:cs="Calibri"/>
          <w:color w:val="000000" w:themeColor="text1"/>
          <w:sz w:val="21"/>
          <w:szCs w:val="21"/>
          <w:u w:val="single"/>
        </w:rPr>
        <w:t>:</w:t>
      </w:r>
    </w:p>
    <w:p w14:paraId="202DF941" w14:textId="46DECA76" w:rsidR="00A366C5" w:rsidRPr="00296131" w:rsidRDefault="00A366C5" w:rsidP="00A366C5">
      <w:pPr>
        <w:pStyle w:val="NoSpacing"/>
        <w:numPr>
          <w:ilvl w:val="0"/>
          <w:numId w:val="9"/>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 xml:space="preserve">Patients </w:t>
      </w:r>
      <w:r w:rsidR="000F5898" w:rsidRPr="00296131">
        <w:rPr>
          <w:rFonts w:ascii="Century Gothic" w:hAnsi="Century Gothic" w:cs="Calibri"/>
          <w:color w:val="000000" w:themeColor="text1"/>
          <w:sz w:val="21"/>
          <w:szCs w:val="21"/>
        </w:rPr>
        <w:t>should</w:t>
      </w:r>
      <w:r w:rsidRPr="00296131">
        <w:rPr>
          <w:rFonts w:ascii="Century Gothic" w:hAnsi="Century Gothic" w:cs="Calibri"/>
          <w:color w:val="000000" w:themeColor="text1"/>
          <w:sz w:val="21"/>
          <w:szCs w:val="21"/>
        </w:rPr>
        <w:t xml:space="preserve"> avoid sexual activity for </w:t>
      </w:r>
      <w:r w:rsidR="000F5898" w:rsidRPr="00296131">
        <w:rPr>
          <w:rFonts w:ascii="Century Gothic" w:hAnsi="Century Gothic" w:cs="Calibri"/>
          <w:color w:val="000000" w:themeColor="text1"/>
          <w:sz w:val="21"/>
          <w:szCs w:val="21"/>
        </w:rPr>
        <w:t xml:space="preserve">several weeks </w:t>
      </w:r>
      <w:r w:rsidRPr="00296131">
        <w:rPr>
          <w:rFonts w:ascii="Century Gothic" w:hAnsi="Century Gothic" w:cs="Calibri"/>
          <w:color w:val="000000" w:themeColor="text1"/>
          <w:sz w:val="21"/>
          <w:szCs w:val="21"/>
        </w:rPr>
        <w:t>following surgery to allow for adequate healing of the prostate.</w:t>
      </w:r>
      <w:r w:rsidR="000F5898" w:rsidRPr="00296131">
        <w:rPr>
          <w:rFonts w:ascii="Century Gothic" w:hAnsi="Century Gothic" w:cs="Calibri"/>
          <w:color w:val="000000" w:themeColor="text1"/>
          <w:sz w:val="21"/>
          <w:szCs w:val="21"/>
        </w:rPr>
        <w:t xml:space="preserve"> </w:t>
      </w:r>
    </w:p>
    <w:p w14:paraId="1EBFF42E" w14:textId="77777777" w:rsidR="00A366C5" w:rsidRPr="00296131" w:rsidRDefault="00A366C5" w:rsidP="00A366C5">
      <w:pPr>
        <w:pStyle w:val="NoSpacing"/>
        <w:numPr>
          <w:ilvl w:val="0"/>
          <w:numId w:val="9"/>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Clinical signs indicating that healing is progressing include the color of the urine (hematuria) and mild burning during urination (dysuria). Engaging in sexual activity too early may lead to increased blood in the urine and prostatic discomfort.</w:t>
      </w:r>
    </w:p>
    <w:p w14:paraId="2BFD125B" w14:textId="77777777" w:rsidR="00A366C5" w:rsidRPr="00296131" w:rsidRDefault="00A366C5" w:rsidP="00A366C5">
      <w:pPr>
        <w:pStyle w:val="NoSpacing"/>
        <w:rPr>
          <w:rFonts w:ascii="Century Gothic" w:hAnsi="Century Gothic" w:cs="Calibri"/>
          <w:color w:val="000000" w:themeColor="text1"/>
          <w:sz w:val="21"/>
          <w:szCs w:val="21"/>
          <w:u w:val="single"/>
        </w:rPr>
      </w:pPr>
    </w:p>
    <w:p w14:paraId="450739B7" w14:textId="15EFCFA1" w:rsidR="00A366C5" w:rsidRPr="00296131" w:rsidRDefault="00A366C5" w:rsidP="00A366C5">
      <w:pPr>
        <w:pStyle w:val="NoSpacing"/>
        <w:rPr>
          <w:rFonts w:ascii="Century Gothic" w:hAnsi="Century Gothic" w:cs="Calibri"/>
          <w:color w:val="000000" w:themeColor="text1"/>
          <w:sz w:val="21"/>
          <w:szCs w:val="21"/>
          <w:u w:val="single"/>
        </w:rPr>
      </w:pPr>
      <w:r w:rsidRPr="00296131">
        <w:rPr>
          <w:rFonts w:ascii="Century Gothic" w:hAnsi="Century Gothic" w:cs="Calibri"/>
          <w:color w:val="000000" w:themeColor="text1"/>
          <w:sz w:val="21"/>
          <w:szCs w:val="21"/>
          <w:u w:val="single"/>
        </w:rPr>
        <w:t>Follow-up:</w:t>
      </w:r>
    </w:p>
    <w:p w14:paraId="01765142" w14:textId="4172037B" w:rsidR="00A366C5" w:rsidRPr="00296131" w:rsidRDefault="00A366C5" w:rsidP="00A366C5">
      <w:pPr>
        <w:pStyle w:val="NoSpacing"/>
        <w:numPr>
          <w:ilvl w:val="0"/>
          <w:numId w:val="12"/>
        </w:numPr>
        <w:rPr>
          <w:rFonts w:ascii="Century Gothic" w:hAnsi="Century Gothic" w:cs="Calibri"/>
          <w:color w:val="000000" w:themeColor="text1"/>
          <w:sz w:val="21"/>
          <w:szCs w:val="21"/>
        </w:rPr>
      </w:pPr>
      <w:r w:rsidRPr="00296131">
        <w:rPr>
          <w:rFonts w:ascii="Century Gothic" w:hAnsi="Century Gothic" w:cs="Calibri"/>
          <w:color w:val="000000" w:themeColor="text1"/>
          <w:sz w:val="21"/>
          <w:szCs w:val="21"/>
        </w:rPr>
        <w:t>A follow-up appointment will be scheduled to ensure proper healing and monitor progress</w:t>
      </w:r>
    </w:p>
    <w:p w14:paraId="32575632" w14:textId="77777777" w:rsidR="00E0625F" w:rsidRPr="00333845" w:rsidRDefault="00E0625F" w:rsidP="00E0625F">
      <w:pPr>
        <w:pStyle w:val="NoSpacing"/>
        <w:rPr>
          <w:rFonts w:ascii="Century Gothic" w:hAnsi="Century Gothic" w:cs="Calibri"/>
          <w:color w:val="000000" w:themeColor="text1"/>
          <w:highlight w:val="cyan"/>
        </w:rPr>
      </w:pPr>
    </w:p>
    <w:p w14:paraId="739E15DF" w14:textId="77777777" w:rsidR="00852FE6" w:rsidRDefault="00852FE6" w:rsidP="00E0625F">
      <w:pPr>
        <w:spacing w:after="0" w:line="240" w:lineRule="auto"/>
        <w:rPr>
          <w:rFonts w:ascii="Century Gothic" w:eastAsia="Times New Roman" w:hAnsi="Century Gothic" w:cs="Calibri"/>
          <w:color w:val="000000" w:themeColor="text1"/>
          <w:kern w:val="0"/>
          <w:sz w:val="16"/>
          <w:szCs w:val="16"/>
          <w14:ligatures w14:val="none"/>
        </w:rPr>
      </w:pPr>
    </w:p>
    <w:p w14:paraId="06C6C7E8" w14:textId="77777777" w:rsidR="00852FE6" w:rsidRDefault="00852FE6" w:rsidP="00E0625F">
      <w:pPr>
        <w:spacing w:after="0" w:line="240" w:lineRule="auto"/>
        <w:rPr>
          <w:rFonts w:ascii="Century Gothic" w:eastAsia="Times New Roman" w:hAnsi="Century Gothic" w:cs="Calibri"/>
          <w:color w:val="000000" w:themeColor="text1"/>
          <w:kern w:val="0"/>
          <w:sz w:val="16"/>
          <w:szCs w:val="16"/>
          <w14:ligatures w14:val="none"/>
        </w:rPr>
      </w:pPr>
    </w:p>
    <w:p w14:paraId="1254868F" w14:textId="77777777" w:rsidR="00852FE6" w:rsidRDefault="00852FE6" w:rsidP="00E0625F">
      <w:pPr>
        <w:spacing w:after="0" w:line="240" w:lineRule="auto"/>
        <w:rPr>
          <w:rFonts w:ascii="Century Gothic" w:eastAsia="Times New Roman" w:hAnsi="Century Gothic" w:cs="Calibri"/>
          <w:color w:val="000000" w:themeColor="text1"/>
          <w:kern w:val="0"/>
          <w:sz w:val="16"/>
          <w:szCs w:val="16"/>
          <w14:ligatures w14:val="none"/>
        </w:rPr>
      </w:pPr>
    </w:p>
    <w:p w14:paraId="4C893C35" w14:textId="77777777" w:rsidR="00852FE6" w:rsidRDefault="00852FE6" w:rsidP="00E0625F">
      <w:pPr>
        <w:spacing w:after="0" w:line="240" w:lineRule="auto"/>
        <w:rPr>
          <w:rFonts w:ascii="Century Gothic" w:eastAsia="Times New Roman" w:hAnsi="Century Gothic" w:cs="Calibri"/>
          <w:color w:val="000000" w:themeColor="text1"/>
          <w:kern w:val="0"/>
          <w:sz w:val="16"/>
          <w:szCs w:val="16"/>
          <w14:ligatures w14:val="none"/>
        </w:rPr>
      </w:pPr>
    </w:p>
    <w:p w14:paraId="26C93D99" w14:textId="4FBACE4D" w:rsidR="00E0625F" w:rsidRPr="00296131" w:rsidRDefault="00E0625F" w:rsidP="00E0625F">
      <w:pPr>
        <w:spacing w:after="0" w:line="240" w:lineRule="auto"/>
        <w:rPr>
          <w:rFonts w:ascii="Century Gothic" w:eastAsia="Times New Roman" w:hAnsi="Century Gothic" w:cs="Calibri"/>
          <w:color w:val="0563C1"/>
          <w:kern w:val="0"/>
          <w:sz w:val="16"/>
          <w:szCs w:val="16"/>
          <w:u w:val="single"/>
          <w14:ligatures w14:val="none"/>
        </w:rPr>
      </w:pPr>
      <w:r w:rsidRPr="00296131">
        <w:rPr>
          <w:rFonts w:ascii="Century Gothic" w:eastAsia="Times New Roman" w:hAnsi="Century Gothic" w:cs="Calibri"/>
          <w:color w:val="000000" w:themeColor="text1"/>
          <w:kern w:val="0"/>
          <w:sz w:val="16"/>
          <w:szCs w:val="16"/>
          <w14:ligatures w14:val="none"/>
        </w:rPr>
        <w:t xml:space="preserve">Not all patients will experience the same results. For safety information </w:t>
      </w:r>
      <w:hyperlink r:id="rId5" w:history="1">
        <w:r w:rsidRPr="00296131">
          <w:rPr>
            <w:rFonts w:ascii="Century Gothic" w:eastAsia="Times New Roman" w:hAnsi="Century Gothic" w:cs="Calibri"/>
            <w:color w:val="0563C1"/>
            <w:kern w:val="0"/>
            <w:sz w:val="16"/>
            <w:szCs w:val="16"/>
            <w:u w:val="single"/>
            <w14:ligatures w14:val="none"/>
          </w:rPr>
          <w:t>https://aquablation.com/safety-information/</w:t>
        </w:r>
      </w:hyperlink>
      <w:r w:rsidRPr="00296131">
        <w:rPr>
          <w:rFonts w:ascii="Century Gothic" w:eastAsia="Times New Roman" w:hAnsi="Century Gothic" w:cs="Calibri"/>
          <w:color w:val="0563C1"/>
          <w:kern w:val="0"/>
          <w:sz w:val="16"/>
          <w:szCs w:val="16"/>
          <w:u w:val="single"/>
          <w14:ligatures w14:val="none"/>
        </w:rPr>
        <w:t xml:space="preserve">  </w:t>
      </w:r>
    </w:p>
    <w:p w14:paraId="47F7264D" w14:textId="77777777" w:rsidR="00AA026A" w:rsidRPr="00296131" w:rsidRDefault="00AA026A" w:rsidP="00AA026A">
      <w:pPr>
        <w:pStyle w:val="NoSpacing"/>
        <w:rPr>
          <w:rFonts w:ascii="Century Gothic" w:hAnsi="Century Gothic" w:cs="Calibri"/>
          <w:color w:val="000000" w:themeColor="text1"/>
          <w:sz w:val="16"/>
          <w:szCs w:val="16"/>
        </w:rPr>
      </w:pPr>
    </w:p>
    <w:p w14:paraId="4CA55B0F" w14:textId="4F038777" w:rsidR="00A26C8A" w:rsidRPr="00296131" w:rsidRDefault="00AA026A" w:rsidP="00A26C8A">
      <w:pPr>
        <w:rPr>
          <w:rFonts w:ascii="Century Gothic" w:hAnsi="Century Gothic" w:cs="Calibri"/>
          <w:color w:val="000000" w:themeColor="text1"/>
          <w:sz w:val="16"/>
          <w:szCs w:val="16"/>
          <w:shd w:val="clear" w:color="auto" w:fill="FFFFFF"/>
        </w:rPr>
      </w:pPr>
      <w:r w:rsidRPr="00296131">
        <w:rPr>
          <w:rFonts w:ascii="Century Gothic" w:hAnsi="Century Gothic" w:cs="Calibri"/>
          <w:color w:val="000000" w:themeColor="text1"/>
          <w:sz w:val="16"/>
          <w:szCs w:val="16"/>
        </w:rPr>
        <w:t xml:space="preserve">Risk &amp; Safety Information: </w:t>
      </w:r>
      <w:r w:rsidR="00A26C8A" w:rsidRPr="00296131">
        <w:rPr>
          <w:rFonts w:ascii="Century Gothic" w:hAnsi="Century Gothic" w:cs="Calibri"/>
          <w:color w:val="000000" w:themeColor="text1"/>
          <w:sz w:val="16"/>
          <w:szCs w:val="16"/>
        </w:rPr>
        <w:t xml:space="preserve">All surgical treatments have inherent and associated side effects, some of which may lead to serious outcomes and may require intervention. Individual’s outcomes may depend on </w:t>
      </w:r>
      <w:proofErr w:type="gramStart"/>
      <w:r w:rsidR="00A26C8A" w:rsidRPr="00296131">
        <w:rPr>
          <w:rFonts w:ascii="Century Gothic" w:hAnsi="Century Gothic" w:cs="Calibri"/>
          <w:color w:val="000000" w:themeColor="text1"/>
          <w:sz w:val="16"/>
          <w:szCs w:val="16"/>
        </w:rPr>
        <w:t>a number of</w:t>
      </w:r>
      <w:proofErr w:type="gramEnd"/>
      <w:r w:rsidR="00A26C8A" w:rsidRPr="00296131">
        <w:rPr>
          <w:rFonts w:ascii="Century Gothic" w:hAnsi="Century Gothic" w:cs="Calibri"/>
          <w:color w:val="000000" w:themeColor="text1"/>
          <w:sz w:val="16"/>
          <w:szCs w:val="16"/>
        </w:rPr>
        <w:t xml:space="preserve"> factors, including but not limited to patient characteristics, disease characteristics and/or surgeon behavior. The most common side effects are mild and transient and may include mild pain or difficulty when urinating, discomfort in the pelvis or penis, blood in the urine, inability to empty the bladder or a frequent and/or urgent need to urinate, and bladder or urinary tract infection. Other risks include but are not limited to: anesthesia risk; sexual dysfunction, including ejaculatory or erectile dysfunction; injury to the urethra, such as false passage or stricture, or to the rectum, including rectal incontinence/perforation; bladder or prostate capsule perforation; infection, including the potential transmission of blood borne pathogens; bleeding; incontinence; embolism; electric shock/burn; transurethral resection (TUR) syndrome; bladder neck contracture; and bruising. No claim is made that the AquaBeam Robotic System will cure any medical condition, or </w:t>
      </w:r>
      <w:proofErr w:type="gramStart"/>
      <w:r w:rsidR="00A26C8A" w:rsidRPr="00296131">
        <w:rPr>
          <w:rFonts w:ascii="Century Gothic" w:hAnsi="Century Gothic" w:cs="Calibri"/>
          <w:color w:val="000000" w:themeColor="text1"/>
          <w:sz w:val="16"/>
          <w:szCs w:val="16"/>
        </w:rPr>
        <w:t>entirely eliminate</w:t>
      </w:r>
      <w:proofErr w:type="gramEnd"/>
      <w:r w:rsidR="00A26C8A" w:rsidRPr="00296131">
        <w:rPr>
          <w:rFonts w:ascii="Century Gothic" w:hAnsi="Century Gothic" w:cs="Calibri"/>
          <w:color w:val="000000" w:themeColor="text1"/>
          <w:sz w:val="16"/>
          <w:szCs w:val="16"/>
        </w:rPr>
        <w:t xml:space="preserve"> the diseased entity. Repeated treatment or alternative therapies may sometimes be required.</w:t>
      </w:r>
    </w:p>
    <w:p w14:paraId="5735EF0F" w14:textId="77777777" w:rsidR="00A26C8A" w:rsidRPr="00296131" w:rsidRDefault="00A26C8A" w:rsidP="00A26C8A">
      <w:pPr>
        <w:rPr>
          <w:rFonts w:ascii="Century Gothic" w:hAnsi="Century Gothic" w:cs="Calibri"/>
          <w:color w:val="000000" w:themeColor="text1"/>
          <w:sz w:val="16"/>
          <w:szCs w:val="16"/>
        </w:rPr>
      </w:pPr>
      <w:r w:rsidRPr="00296131">
        <w:rPr>
          <w:rFonts w:ascii="Century Gothic" w:hAnsi="Century Gothic" w:cs="Calibri"/>
          <w:color w:val="000000" w:themeColor="text1"/>
          <w:sz w:val="16"/>
          <w:szCs w:val="16"/>
        </w:rPr>
        <w:t>For more information about potential side effects and risks associated with Aquablation therapy, speak with your urologist or surgeon.</w:t>
      </w:r>
    </w:p>
    <w:p w14:paraId="4A0CD96F" w14:textId="77777777" w:rsidR="00A26C8A" w:rsidRPr="00296131" w:rsidRDefault="00A26C8A" w:rsidP="00A26C8A">
      <w:pPr>
        <w:rPr>
          <w:rFonts w:ascii="Century Gothic" w:hAnsi="Century Gothic" w:cs="Calibri"/>
          <w:color w:val="000000" w:themeColor="text1"/>
          <w:sz w:val="16"/>
          <w:szCs w:val="16"/>
        </w:rPr>
      </w:pPr>
      <w:r w:rsidRPr="00296131">
        <w:rPr>
          <w:rFonts w:ascii="Century Gothic" w:hAnsi="Century Gothic" w:cs="Calibri"/>
          <w:color w:val="000000" w:themeColor="text1"/>
          <w:sz w:val="16"/>
          <w:szCs w:val="16"/>
        </w:rPr>
        <w:t>Rx Only</w:t>
      </w:r>
    </w:p>
    <w:p w14:paraId="758F69C7" w14:textId="5B0C9A7B" w:rsidR="00AA026A" w:rsidRPr="00296131" w:rsidRDefault="00A26C8A" w:rsidP="00A26C8A">
      <w:pPr>
        <w:rPr>
          <w:rFonts w:ascii="Century Gothic" w:hAnsi="Century Gothic" w:cs="Calibri"/>
          <w:color w:val="000000" w:themeColor="text1"/>
          <w:sz w:val="16"/>
          <w:szCs w:val="16"/>
        </w:rPr>
      </w:pPr>
      <w:r w:rsidRPr="00296131">
        <w:rPr>
          <w:rFonts w:ascii="Century Gothic" w:hAnsi="Century Gothic" w:cs="Calibri"/>
          <w:color w:val="000000" w:themeColor="text1"/>
          <w:sz w:val="16"/>
          <w:szCs w:val="16"/>
        </w:rPr>
        <w:t>Aquablation therapy is performed by urologists. Patients should talk to their doctor to determine if Aquablation therapy is right for them. Patients and doctors should review the potential benefits and limitations of treatment together.</w:t>
      </w:r>
    </w:p>
    <w:p w14:paraId="5283C983" w14:textId="5B47331C" w:rsidR="00A26C8A" w:rsidRPr="00296131" w:rsidRDefault="00A26C8A" w:rsidP="00A26C8A">
      <w:pPr>
        <w:pStyle w:val="NoSpacing"/>
        <w:rPr>
          <w:rFonts w:ascii="Century Gothic" w:hAnsi="Century Gothic" w:cs="Calibri"/>
          <w:color w:val="000000" w:themeColor="text1"/>
          <w:sz w:val="16"/>
          <w:szCs w:val="16"/>
        </w:rPr>
      </w:pPr>
      <w:r w:rsidRPr="00296131">
        <w:rPr>
          <w:rFonts w:ascii="Century Gothic" w:hAnsi="Century Gothic" w:cs="Calibri"/>
          <w:color w:val="000000" w:themeColor="text1"/>
          <w:sz w:val="16"/>
          <w:szCs w:val="16"/>
        </w:rPr>
        <w:t>AQUABLATION</w:t>
      </w:r>
      <w:r w:rsidR="00523570" w:rsidRPr="00296131">
        <w:rPr>
          <w:rFonts w:ascii="Century Gothic" w:hAnsi="Century Gothic" w:cs="Calibri"/>
          <w:color w:val="000000" w:themeColor="text1"/>
          <w:sz w:val="16"/>
          <w:szCs w:val="16"/>
        </w:rPr>
        <w:t xml:space="preserve"> is a </w:t>
      </w:r>
      <w:r w:rsidRPr="00296131">
        <w:rPr>
          <w:rFonts w:ascii="Century Gothic" w:hAnsi="Century Gothic" w:cs="Calibri"/>
          <w:color w:val="000000" w:themeColor="text1"/>
          <w:sz w:val="16"/>
          <w:szCs w:val="16"/>
        </w:rPr>
        <w:t xml:space="preserve">registered trademark of PROCEPT BioRobotics Corporation. </w:t>
      </w:r>
    </w:p>
    <w:p w14:paraId="5B404624" w14:textId="77777777" w:rsidR="00AA026A" w:rsidRPr="002822DA" w:rsidRDefault="00AA026A" w:rsidP="00AA026A">
      <w:pPr>
        <w:rPr>
          <w:rFonts w:ascii="Calibri" w:hAnsi="Calibri" w:cs="Calibri"/>
          <w:color w:val="000000" w:themeColor="text1"/>
          <w:sz w:val="20"/>
          <w:szCs w:val="20"/>
        </w:rPr>
      </w:pPr>
    </w:p>
    <w:sectPr w:rsidR="00AA026A" w:rsidRPr="002822DA" w:rsidSect="0029613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8AF"/>
    <w:multiLevelType w:val="hybridMultilevel"/>
    <w:tmpl w:val="E74E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7014"/>
    <w:multiLevelType w:val="hybridMultilevel"/>
    <w:tmpl w:val="039A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7BA5"/>
    <w:multiLevelType w:val="hybridMultilevel"/>
    <w:tmpl w:val="161A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A2997"/>
    <w:multiLevelType w:val="multilevel"/>
    <w:tmpl w:val="88C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16260"/>
    <w:multiLevelType w:val="hybridMultilevel"/>
    <w:tmpl w:val="7A72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F2908"/>
    <w:multiLevelType w:val="hybridMultilevel"/>
    <w:tmpl w:val="C344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40181"/>
    <w:multiLevelType w:val="hybridMultilevel"/>
    <w:tmpl w:val="DC321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352B7"/>
    <w:multiLevelType w:val="multilevel"/>
    <w:tmpl w:val="EB7C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9369F"/>
    <w:multiLevelType w:val="multilevel"/>
    <w:tmpl w:val="8520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42375"/>
    <w:multiLevelType w:val="hybridMultilevel"/>
    <w:tmpl w:val="93580A3E"/>
    <w:lvl w:ilvl="0" w:tplc="04090001">
      <w:start w:val="1"/>
      <w:numFmt w:val="bullet"/>
      <w:lvlText w:val=""/>
      <w:lvlJc w:val="left"/>
      <w:pPr>
        <w:ind w:left="490" w:hanging="360"/>
      </w:pPr>
      <w:rPr>
        <w:rFonts w:ascii="Symbol" w:hAnsi="Symbol" w:hint="default"/>
      </w:rPr>
    </w:lvl>
    <w:lvl w:ilvl="1" w:tplc="FFFFFFFF">
      <w:start w:val="1"/>
      <w:numFmt w:val="bullet"/>
      <w:lvlText w:val="o"/>
      <w:lvlJc w:val="left"/>
      <w:pPr>
        <w:ind w:left="1210" w:hanging="360"/>
      </w:pPr>
      <w:rPr>
        <w:rFonts w:ascii="Courier New" w:hAnsi="Courier New" w:cs="Courier New" w:hint="default"/>
      </w:rPr>
    </w:lvl>
    <w:lvl w:ilvl="2" w:tplc="FFFFFFFF" w:tentative="1">
      <w:start w:val="1"/>
      <w:numFmt w:val="bullet"/>
      <w:lvlText w:val=""/>
      <w:lvlJc w:val="left"/>
      <w:pPr>
        <w:ind w:left="1930" w:hanging="360"/>
      </w:pPr>
      <w:rPr>
        <w:rFonts w:ascii="Wingdings" w:hAnsi="Wingdings" w:hint="default"/>
      </w:rPr>
    </w:lvl>
    <w:lvl w:ilvl="3" w:tplc="FFFFFFFF" w:tentative="1">
      <w:start w:val="1"/>
      <w:numFmt w:val="bullet"/>
      <w:lvlText w:val=""/>
      <w:lvlJc w:val="left"/>
      <w:pPr>
        <w:ind w:left="2650" w:hanging="360"/>
      </w:pPr>
      <w:rPr>
        <w:rFonts w:ascii="Symbol" w:hAnsi="Symbol" w:hint="default"/>
      </w:rPr>
    </w:lvl>
    <w:lvl w:ilvl="4" w:tplc="FFFFFFFF" w:tentative="1">
      <w:start w:val="1"/>
      <w:numFmt w:val="bullet"/>
      <w:lvlText w:val="o"/>
      <w:lvlJc w:val="left"/>
      <w:pPr>
        <w:ind w:left="3370" w:hanging="360"/>
      </w:pPr>
      <w:rPr>
        <w:rFonts w:ascii="Courier New" w:hAnsi="Courier New" w:cs="Courier New" w:hint="default"/>
      </w:rPr>
    </w:lvl>
    <w:lvl w:ilvl="5" w:tplc="FFFFFFFF" w:tentative="1">
      <w:start w:val="1"/>
      <w:numFmt w:val="bullet"/>
      <w:lvlText w:val=""/>
      <w:lvlJc w:val="left"/>
      <w:pPr>
        <w:ind w:left="4090" w:hanging="360"/>
      </w:pPr>
      <w:rPr>
        <w:rFonts w:ascii="Wingdings" w:hAnsi="Wingdings" w:hint="default"/>
      </w:rPr>
    </w:lvl>
    <w:lvl w:ilvl="6" w:tplc="FFFFFFFF" w:tentative="1">
      <w:start w:val="1"/>
      <w:numFmt w:val="bullet"/>
      <w:lvlText w:val=""/>
      <w:lvlJc w:val="left"/>
      <w:pPr>
        <w:ind w:left="4810" w:hanging="360"/>
      </w:pPr>
      <w:rPr>
        <w:rFonts w:ascii="Symbol" w:hAnsi="Symbol" w:hint="default"/>
      </w:rPr>
    </w:lvl>
    <w:lvl w:ilvl="7" w:tplc="FFFFFFFF" w:tentative="1">
      <w:start w:val="1"/>
      <w:numFmt w:val="bullet"/>
      <w:lvlText w:val="o"/>
      <w:lvlJc w:val="left"/>
      <w:pPr>
        <w:ind w:left="5530" w:hanging="360"/>
      </w:pPr>
      <w:rPr>
        <w:rFonts w:ascii="Courier New" w:hAnsi="Courier New" w:cs="Courier New" w:hint="default"/>
      </w:rPr>
    </w:lvl>
    <w:lvl w:ilvl="8" w:tplc="FFFFFFFF" w:tentative="1">
      <w:start w:val="1"/>
      <w:numFmt w:val="bullet"/>
      <w:lvlText w:val=""/>
      <w:lvlJc w:val="left"/>
      <w:pPr>
        <w:ind w:left="6250" w:hanging="360"/>
      </w:pPr>
      <w:rPr>
        <w:rFonts w:ascii="Wingdings" w:hAnsi="Wingdings" w:hint="default"/>
      </w:rPr>
    </w:lvl>
  </w:abstractNum>
  <w:abstractNum w:abstractNumId="10" w15:restartNumberingAfterBreak="0">
    <w:nsid w:val="3E4C1C74"/>
    <w:multiLevelType w:val="multilevel"/>
    <w:tmpl w:val="66FE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700C7"/>
    <w:multiLevelType w:val="multilevel"/>
    <w:tmpl w:val="FA2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84DAA"/>
    <w:multiLevelType w:val="hybridMultilevel"/>
    <w:tmpl w:val="DA7ECF14"/>
    <w:lvl w:ilvl="0" w:tplc="AC720000">
      <w:start w:val="1"/>
      <w:numFmt w:val="decimal"/>
      <w:lvlText w:val="%1."/>
      <w:lvlJc w:val="left"/>
      <w:pPr>
        <w:ind w:left="720" w:hanging="360"/>
      </w:pPr>
    </w:lvl>
    <w:lvl w:ilvl="1" w:tplc="3790D944">
      <w:start w:val="1"/>
      <w:numFmt w:val="lowerLetter"/>
      <w:lvlText w:val="%2."/>
      <w:lvlJc w:val="left"/>
      <w:pPr>
        <w:ind w:left="1440" w:hanging="360"/>
      </w:pPr>
    </w:lvl>
    <w:lvl w:ilvl="2" w:tplc="946A3FE6">
      <w:start w:val="1"/>
      <w:numFmt w:val="lowerRoman"/>
      <w:lvlText w:val="%3."/>
      <w:lvlJc w:val="right"/>
      <w:pPr>
        <w:ind w:left="2160" w:hanging="180"/>
      </w:pPr>
    </w:lvl>
    <w:lvl w:ilvl="3" w:tplc="C1CE71D2">
      <w:start w:val="1"/>
      <w:numFmt w:val="decimal"/>
      <w:lvlText w:val="%4."/>
      <w:lvlJc w:val="left"/>
      <w:pPr>
        <w:ind w:left="2880" w:hanging="360"/>
      </w:pPr>
    </w:lvl>
    <w:lvl w:ilvl="4" w:tplc="E6ACD194">
      <w:start w:val="1"/>
      <w:numFmt w:val="lowerLetter"/>
      <w:lvlText w:val="%5."/>
      <w:lvlJc w:val="left"/>
      <w:pPr>
        <w:ind w:left="3600" w:hanging="360"/>
      </w:pPr>
    </w:lvl>
    <w:lvl w:ilvl="5" w:tplc="BA7A8C8A">
      <w:start w:val="1"/>
      <w:numFmt w:val="lowerRoman"/>
      <w:lvlText w:val="%6."/>
      <w:lvlJc w:val="right"/>
      <w:pPr>
        <w:ind w:left="4320" w:hanging="180"/>
      </w:pPr>
    </w:lvl>
    <w:lvl w:ilvl="6" w:tplc="FED4D61A">
      <w:start w:val="1"/>
      <w:numFmt w:val="decimal"/>
      <w:lvlText w:val="%7."/>
      <w:lvlJc w:val="left"/>
      <w:pPr>
        <w:ind w:left="5040" w:hanging="360"/>
      </w:pPr>
    </w:lvl>
    <w:lvl w:ilvl="7" w:tplc="401AA46E">
      <w:start w:val="1"/>
      <w:numFmt w:val="lowerLetter"/>
      <w:lvlText w:val="%8."/>
      <w:lvlJc w:val="left"/>
      <w:pPr>
        <w:ind w:left="5760" w:hanging="360"/>
      </w:pPr>
    </w:lvl>
    <w:lvl w:ilvl="8" w:tplc="AC526F20">
      <w:start w:val="1"/>
      <w:numFmt w:val="lowerRoman"/>
      <w:lvlText w:val="%9."/>
      <w:lvlJc w:val="right"/>
      <w:pPr>
        <w:ind w:left="6480" w:hanging="180"/>
      </w:pPr>
    </w:lvl>
  </w:abstractNum>
  <w:abstractNum w:abstractNumId="13" w15:restartNumberingAfterBreak="0">
    <w:nsid w:val="45493567"/>
    <w:multiLevelType w:val="hybridMultilevel"/>
    <w:tmpl w:val="A346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82AC1"/>
    <w:multiLevelType w:val="hybridMultilevel"/>
    <w:tmpl w:val="3DB4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82E02"/>
    <w:multiLevelType w:val="hybridMultilevel"/>
    <w:tmpl w:val="9BDC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11F01"/>
    <w:multiLevelType w:val="hybridMultilevel"/>
    <w:tmpl w:val="20AE309A"/>
    <w:lvl w:ilvl="0" w:tplc="619ACD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81258"/>
    <w:multiLevelType w:val="multilevel"/>
    <w:tmpl w:val="F5D0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856D8"/>
    <w:multiLevelType w:val="hybridMultilevel"/>
    <w:tmpl w:val="EB34E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8A2FC7"/>
    <w:multiLevelType w:val="multilevel"/>
    <w:tmpl w:val="505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02CFF"/>
    <w:multiLevelType w:val="hybridMultilevel"/>
    <w:tmpl w:val="BC407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3C68BF"/>
    <w:multiLevelType w:val="hybridMultilevel"/>
    <w:tmpl w:val="7FAC6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161755">
    <w:abstractNumId w:val="10"/>
  </w:num>
  <w:num w:numId="2" w16cid:durableId="141703639">
    <w:abstractNumId w:val="3"/>
  </w:num>
  <w:num w:numId="3" w16cid:durableId="1178036092">
    <w:abstractNumId w:val="11"/>
  </w:num>
  <w:num w:numId="4" w16cid:durableId="1546327528">
    <w:abstractNumId w:val="4"/>
  </w:num>
  <w:num w:numId="5" w16cid:durableId="1494490598">
    <w:abstractNumId w:val="6"/>
  </w:num>
  <w:num w:numId="6" w16cid:durableId="875311655">
    <w:abstractNumId w:val="19"/>
  </w:num>
  <w:num w:numId="7" w16cid:durableId="291248634">
    <w:abstractNumId w:val="7"/>
  </w:num>
  <w:num w:numId="8" w16cid:durableId="794256040">
    <w:abstractNumId w:val="2"/>
  </w:num>
  <w:num w:numId="9" w16cid:durableId="1331329053">
    <w:abstractNumId w:val="14"/>
  </w:num>
  <w:num w:numId="10" w16cid:durableId="1651133704">
    <w:abstractNumId w:val="8"/>
  </w:num>
  <w:num w:numId="11" w16cid:durableId="1091775764">
    <w:abstractNumId w:val="17"/>
  </w:num>
  <w:num w:numId="12" w16cid:durableId="552037533">
    <w:abstractNumId w:val="0"/>
  </w:num>
  <w:num w:numId="13" w16cid:durableId="1925726796">
    <w:abstractNumId w:val="12"/>
  </w:num>
  <w:num w:numId="14" w16cid:durableId="101531384">
    <w:abstractNumId w:val="9"/>
  </w:num>
  <w:num w:numId="15" w16cid:durableId="2054499847">
    <w:abstractNumId w:val="21"/>
  </w:num>
  <w:num w:numId="16" w16cid:durableId="820195244">
    <w:abstractNumId w:val="1"/>
  </w:num>
  <w:num w:numId="17" w16cid:durableId="665597467">
    <w:abstractNumId w:val="18"/>
  </w:num>
  <w:num w:numId="18" w16cid:durableId="1673484425">
    <w:abstractNumId w:val="15"/>
  </w:num>
  <w:num w:numId="19" w16cid:durableId="1258947676">
    <w:abstractNumId w:val="20"/>
  </w:num>
  <w:num w:numId="20" w16cid:durableId="2047218104">
    <w:abstractNumId w:val="16"/>
  </w:num>
  <w:num w:numId="21" w16cid:durableId="1398670834">
    <w:abstractNumId w:val="13"/>
  </w:num>
  <w:num w:numId="22" w16cid:durableId="1256940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61"/>
    <w:rsid w:val="0001026A"/>
    <w:rsid w:val="00021B4C"/>
    <w:rsid w:val="000B067C"/>
    <w:rsid w:val="000C18C6"/>
    <w:rsid w:val="000D7483"/>
    <w:rsid w:val="000F5898"/>
    <w:rsid w:val="00106CF0"/>
    <w:rsid w:val="001079F3"/>
    <w:rsid w:val="0011314F"/>
    <w:rsid w:val="001757C6"/>
    <w:rsid w:val="001D1081"/>
    <w:rsid w:val="001D2B22"/>
    <w:rsid w:val="001E40D2"/>
    <w:rsid w:val="00213D77"/>
    <w:rsid w:val="002759B0"/>
    <w:rsid w:val="002822DA"/>
    <w:rsid w:val="00291EC4"/>
    <w:rsid w:val="00296131"/>
    <w:rsid w:val="002C6A7D"/>
    <w:rsid w:val="003038CD"/>
    <w:rsid w:val="00333845"/>
    <w:rsid w:val="003F0F6E"/>
    <w:rsid w:val="004040A7"/>
    <w:rsid w:val="004711FB"/>
    <w:rsid w:val="004742B7"/>
    <w:rsid w:val="004A7BB0"/>
    <w:rsid w:val="004F7BDC"/>
    <w:rsid w:val="00523570"/>
    <w:rsid w:val="00587EE0"/>
    <w:rsid w:val="005C3E62"/>
    <w:rsid w:val="0062125D"/>
    <w:rsid w:val="00687184"/>
    <w:rsid w:val="006C35C3"/>
    <w:rsid w:val="00704511"/>
    <w:rsid w:val="007268F5"/>
    <w:rsid w:val="00731769"/>
    <w:rsid w:val="007640AB"/>
    <w:rsid w:val="008207CE"/>
    <w:rsid w:val="00830C83"/>
    <w:rsid w:val="00852FE6"/>
    <w:rsid w:val="00884344"/>
    <w:rsid w:val="00887279"/>
    <w:rsid w:val="0089767D"/>
    <w:rsid w:val="00911E1C"/>
    <w:rsid w:val="009A224C"/>
    <w:rsid w:val="009A4166"/>
    <w:rsid w:val="009D520F"/>
    <w:rsid w:val="009E06BF"/>
    <w:rsid w:val="00A26C8A"/>
    <w:rsid w:val="00A366C5"/>
    <w:rsid w:val="00A521F0"/>
    <w:rsid w:val="00A574CF"/>
    <w:rsid w:val="00A67D76"/>
    <w:rsid w:val="00A72D29"/>
    <w:rsid w:val="00AA026A"/>
    <w:rsid w:val="00AA3764"/>
    <w:rsid w:val="00AE4326"/>
    <w:rsid w:val="00B07974"/>
    <w:rsid w:val="00B121D3"/>
    <w:rsid w:val="00B6078A"/>
    <w:rsid w:val="00B66D20"/>
    <w:rsid w:val="00BB4BC3"/>
    <w:rsid w:val="00C02465"/>
    <w:rsid w:val="00C2722E"/>
    <w:rsid w:val="00C76F68"/>
    <w:rsid w:val="00CE4061"/>
    <w:rsid w:val="00D06F3E"/>
    <w:rsid w:val="00D51AF6"/>
    <w:rsid w:val="00D84B5A"/>
    <w:rsid w:val="00DA4FDD"/>
    <w:rsid w:val="00DC085F"/>
    <w:rsid w:val="00DE4A48"/>
    <w:rsid w:val="00E0625F"/>
    <w:rsid w:val="00E36130"/>
    <w:rsid w:val="00E54A9C"/>
    <w:rsid w:val="00E76421"/>
    <w:rsid w:val="00ED01F9"/>
    <w:rsid w:val="00EE4AD9"/>
    <w:rsid w:val="00F94213"/>
    <w:rsid w:val="00FB75B3"/>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1018"/>
  <w15:chartTrackingRefBased/>
  <w15:docId w15:val="{C1315B46-4504-446C-AD9B-FB80C1A1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4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061"/>
    <w:rPr>
      <w:rFonts w:eastAsiaTheme="majorEastAsia" w:cstheme="majorBidi"/>
      <w:color w:val="272727" w:themeColor="text1" w:themeTint="D8"/>
    </w:rPr>
  </w:style>
  <w:style w:type="paragraph" w:styleId="Title">
    <w:name w:val="Title"/>
    <w:basedOn w:val="Normal"/>
    <w:next w:val="Normal"/>
    <w:link w:val="TitleChar"/>
    <w:uiPriority w:val="10"/>
    <w:qFormat/>
    <w:rsid w:val="00CE4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061"/>
    <w:pPr>
      <w:spacing w:before="160"/>
      <w:jc w:val="center"/>
    </w:pPr>
    <w:rPr>
      <w:i/>
      <w:iCs/>
      <w:color w:val="404040" w:themeColor="text1" w:themeTint="BF"/>
    </w:rPr>
  </w:style>
  <w:style w:type="character" w:customStyle="1" w:styleId="QuoteChar">
    <w:name w:val="Quote Char"/>
    <w:basedOn w:val="DefaultParagraphFont"/>
    <w:link w:val="Quote"/>
    <w:uiPriority w:val="29"/>
    <w:rsid w:val="00CE4061"/>
    <w:rPr>
      <w:i/>
      <w:iCs/>
      <w:color w:val="404040" w:themeColor="text1" w:themeTint="BF"/>
    </w:rPr>
  </w:style>
  <w:style w:type="paragraph" w:styleId="ListParagraph">
    <w:name w:val="List Paragraph"/>
    <w:basedOn w:val="Normal"/>
    <w:uiPriority w:val="34"/>
    <w:qFormat/>
    <w:rsid w:val="00CE4061"/>
    <w:pPr>
      <w:ind w:left="720"/>
      <w:contextualSpacing/>
    </w:pPr>
  </w:style>
  <w:style w:type="character" w:styleId="IntenseEmphasis">
    <w:name w:val="Intense Emphasis"/>
    <w:basedOn w:val="DefaultParagraphFont"/>
    <w:uiPriority w:val="21"/>
    <w:qFormat/>
    <w:rsid w:val="00CE4061"/>
    <w:rPr>
      <w:i/>
      <w:iCs/>
      <w:color w:val="0F4761" w:themeColor="accent1" w:themeShade="BF"/>
    </w:rPr>
  </w:style>
  <w:style w:type="paragraph" w:styleId="IntenseQuote">
    <w:name w:val="Intense Quote"/>
    <w:basedOn w:val="Normal"/>
    <w:next w:val="Normal"/>
    <w:link w:val="IntenseQuoteChar"/>
    <w:uiPriority w:val="30"/>
    <w:qFormat/>
    <w:rsid w:val="00CE4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061"/>
    <w:rPr>
      <w:i/>
      <w:iCs/>
      <w:color w:val="0F4761" w:themeColor="accent1" w:themeShade="BF"/>
    </w:rPr>
  </w:style>
  <w:style w:type="character" w:styleId="IntenseReference">
    <w:name w:val="Intense Reference"/>
    <w:basedOn w:val="DefaultParagraphFont"/>
    <w:uiPriority w:val="32"/>
    <w:qFormat/>
    <w:rsid w:val="00CE4061"/>
    <w:rPr>
      <w:b/>
      <w:bCs/>
      <w:smallCaps/>
      <w:color w:val="0F4761" w:themeColor="accent1" w:themeShade="BF"/>
      <w:spacing w:val="5"/>
    </w:rPr>
  </w:style>
  <w:style w:type="paragraph" w:styleId="NoSpacing">
    <w:name w:val="No Spacing"/>
    <w:uiPriority w:val="1"/>
    <w:qFormat/>
    <w:rsid w:val="00CE4061"/>
    <w:pPr>
      <w:spacing w:after="0" w:line="240" w:lineRule="auto"/>
    </w:pPr>
  </w:style>
  <w:style w:type="character" w:styleId="Strong">
    <w:name w:val="Strong"/>
    <w:qFormat/>
    <w:rsid w:val="00AA026A"/>
    <w:rPr>
      <w:b/>
      <w:bCs/>
    </w:rPr>
  </w:style>
  <w:style w:type="character" w:styleId="CommentReference">
    <w:name w:val="annotation reference"/>
    <w:basedOn w:val="DefaultParagraphFont"/>
    <w:uiPriority w:val="99"/>
    <w:semiHidden/>
    <w:unhideWhenUsed/>
    <w:rsid w:val="00C2722E"/>
    <w:rPr>
      <w:sz w:val="16"/>
      <w:szCs w:val="16"/>
    </w:rPr>
  </w:style>
  <w:style w:type="paragraph" w:styleId="CommentText">
    <w:name w:val="annotation text"/>
    <w:basedOn w:val="Normal"/>
    <w:link w:val="CommentTextChar"/>
    <w:uiPriority w:val="99"/>
    <w:unhideWhenUsed/>
    <w:rsid w:val="00C2722E"/>
    <w:pPr>
      <w:spacing w:line="240" w:lineRule="auto"/>
    </w:pPr>
    <w:rPr>
      <w:sz w:val="20"/>
      <w:szCs w:val="20"/>
    </w:rPr>
  </w:style>
  <w:style w:type="character" w:customStyle="1" w:styleId="CommentTextChar">
    <w:name w:val="Comment Text Char"/>
    <w:basedOn w:val="DefaultParagraphFont"/>
    <w:link w:val="CommentText"/>
    <w:uiPriority w:val="99"/>
    <w:rsid w:val="00C2722E"/>
    <w:rPr>
      <w:sz w:val="20"/>
      <w:szCs w:val="20"/>
    </w:rPr>
  </w:style>
  <w:style w:type="paragraph" w:styleId="CommentSubject">
    <w:name w:val="annotation subject"/>
    <w:basedOn w:val="CommentText"/>
    <w:next w:val="CommentText"/>
    <w:link w:val="CommentSubjectChar"/>
    <w:uiPriority w:val="99"/>
    <w:semiHidden/>
    <w:unhideWhenUsed/>
    <w:rsid w:val="00C2722E"/>
    <w:rPr>
      <w:b/>
      <w:bCs/>
    </w:rPr>
  </w:style>
  <w:style w:type="character" w:customStyle="1" w:styleId="CommentSubjectChar">
    <w:name w:val="Comment Subject Char"/>
    <w:basedOn w:val="CommentTextChar"/>
    <w:link w:val="CommentSubject"/>
    <w:uiPriority w:val="99"/>
    <w:semiHidden/>
    <w:rsid w:val="00C2722E"/>
    <w:rPr>
      <w:b/>
      <w:bCs/>
      <w:sz w:val="20"/>
      <w:szCs w:val="20"/>
    </w:rPr>
  </w:style>
  <w:style w:type="paragraph" w:styleId="NormalWeb">
    <w:name w:val="Normal (Web)"/>
    <w:basedOn w:val="Normal"/>
    <w:uiPriority w:val="99"/>
    <w:semiHidden/>
    <w:unhideWhenUsed/>
    <w:rsid w:val="00291E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9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4880">
      <w:bodyDiv w:val="1"/>
      <w:marLeft w:val="0"/>
      <w:marRight w:val="0"/>
      <w:marTop w:val="0"/>
      <w:marBottom w:val="0"/>
      <w:divBdr>
        <w:top w:val="none" w:sz="0" w:space="0" w:color="auto"/>
        <w:left w:val="none" w:sz="0" w:space="0" w:color="auto"/>
        <w:bottom w:val="none" w:sz="0" w:space="0" w:color="auto"/>
        <w:right w:val="none" w:sz="0" w:space="0" w:color="auto"/>
      </w:divBdr>
    </w:div>
    <w:div w:id="356927578">
      <w:bodyDiv w:val="1"/>
      <w:marLeft w:val="0"/>
      <w:marRight w:val="0"/>
      <w:marTop w:val="0"/>
      <w:marBottom w:val="0"/>
      <w:divBdr>
        <w:top w:val="none" w:sz="0" w:space="0" w:color="auto"/>
        <w:left w:val="none" w:sz="0" w:space="0" w:color="auto"/>
        <w:bottom w:val="none" w:sz="0" w:space="0" w:color="auto"/>
        <w:right w:val="none" w:sz="0" w:space="0" w:color="auto"/>
      </w:divBdr>
    </w:div>
    <w:div w:id="452869910">
      <w:bodyDiv w:val="1"/>
      <w:marLeft w:val="0"/>
      <w:marRight w:val="0"/>
      <w:marTop w:val="0"/>
      <w:marBottom w:val="0"/>
      <w:divBdr>
        <w:top w:val="none" w:sz="0" w:space="0" w:color="auto"/>
        <w:left w:val="none" w:sz="0" w:space="0" w:color="auto"/>
        <w:bottom w:val="none" w:sz="0" w:space="0" w:color="auto"/>
        <w:right w:val="none" w:sz="0" w:space="0" w:color="auto"/>
      </w:divBdr>
    </w:div>
    <w:div w:id="909577306">
      <w:bodyDiv w:val="1"/>
      <w:marLeft w:val="0"/>
      <w:marRight w:val="0"/>
      <w:marTop w:val="0"/>
      <w:marBottom w:val="0"/>
      <w:divBdr>
        <w:top w:val="none" w:sz="0" w:space="0" w:color="auto"/>
        <w:left w:val="none" w:sz="0" w:space="0" w:color="auto"/>
        <w:bottom w:val="none" w:sz="0" w:space="0" w:color="auto"/>
        <w:right w:val="none" w:sz="0" w:space="0" w:color="auto"/>
      </w:divBdr>
    </w:div>
    <w:div w:id="1040587919">
      <w:bodyDiv w:val="1"/>
      <w:marLeft w:val="0"/>
      <w:marRight w:val="0"/>
      <w:marTop w:val="0"/>
      <w:marBottom w:val="0"/>
      <w:divBdr>
        <w:top w:val="none" w:sz="0" w:space="0" w:color="auto"/>
        <w:left w:val="none" w:sz="0" w:space="0" w:color="auto"/>
        <w:bottom w:val="none" w:sz="0" w:space="0" w:color="auto"/>
        <w:right w:val="none" w:sz="0" w:space="0" w:color="auto"/>
      </w:divBdr>
    </w:div>
    <w:div w:id="1272930521">
      <w:bodyDiv w:val="1"/>
      <w:marLeft w:val="0"/>
      <w:marRight w:val="0"/>
      <w:marTop w:val="0"/>
      <w:marBottom w:val="0"/>
      <w:divBdr>
        <w:top w:val="none" w:sz="0" w:space="0" w:color="auto"/>
        <w:left w:val="none" w:sz="0" w:space="0" w:color="auto"/>
        <w:bottom w:val="none" w:sz="0" w:space="0" w:color="auto"/>
        <w:right w:val="none" w:sz="0" w:space="0" w:color="auto"/>
      </w:divBdr>
    </w:div>
    <w:div w:id="1470246096">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20276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quablation.com/safety-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PROCEPT BioRobotics</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Brown</dc:creator>
  <cp:keywords/>
  <dc:description/>
  <cp:lastModifiedBy>Terri Brown</cp:lastModifiedBy>
  <cp:revision>7</cp:revision>
  <dcterms:created xsi:type="dcterms:W3CDTF">2024-12-03T20:02:00Z</dcterms:created>
  <dcterms:modified xsi:type="dcterms:W3CDTF">2024-12-04T23:34:00Z</dcterms:modified>
</cp:coreProperties>
</file>